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bookmarkStart w:id="0" w:name="_GoBack"/>
      <w:bookmarkEnd w:id="0"/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С какой даты нужно платить за обращение с ТКО по новым правилам?</w:t>
      </w:r>
    </w:p>
    <w:p w:rsidR="001464D9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Схема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обращения с твердыми коммунальными отходами 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с региональным оператором начинает применяться по всей России неравномерно. Все регионы должны ввести новую схему к 1 января 2019 года.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В Республике Крым региональный оператор приступает к исполнению своих обязанностей также с 01 января 2019 года. </w:t>
      </w:r>
      <w:r>
        <w:rPr>
          <w:rFonts w:ascii="&amp;quot" w:eastAsia="Times New Roman" w:hAnsi="&amp;quot" w:cs="Times New Roman" w:hint="eastAsia"/>
          <w:color w:val="111111"/>
          <w:sz w:val="24"/>
          <w:szCs w:val="24"/>
          <w:lang w:eastAsia="ru-RU"/>
        </w:rPr>
        <w:t>П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ервые платежи потребители услуги регионального оператора должны оплатить уже в феврале 2019 года по выставленным счетам за январь.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Кто теперь должен заключать договоры на вывоз мусора с региональным оператором?</w:t>
      </w:r>
    </w:p>
    <w:p w:rsidR="001464D9" w:rsidRPr="006A3FBC" w:rsidRDefault="001464D9" w:rsidP="001464D9">
      <w:pPr>
        <w:numPr>
          <w:ilvl w:val="0"/>
          <w:numId w:val="1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собственники частных жилых домов и частей жилых домов (ч.5 ст.30 ЖК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 РФ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);</w:t>
      </w:r>
    </w:p>
    <w:p w:rsidR="001464D9" w:rsidRPr="006A3FBC" w:rsidRDefault="001464D9" w:rsidP="001464D9">
      <w:pPr>
        <w:numPr>
          <w:ilvl w:val="0"/>
          <w:numId w:val="1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собственники нежилых помещений в многоквартирных домах (магазинов, офисов и пр.). Исключение: собственники машино-мест (п.148(1) ПП №354);</w:t>
      </w:r>
    </w:p>
    <w:p w:rsidR="001464D9" w:rsidRPr="006A3FBC" w:rsidRDefault="001464D9" w:rsidP="001464D9">
      <w:pPr>
        <w:numPr>
          <w:ilvl w:val="0"/>
          <w:numId w:val="1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управляющие компании / ТСЖ / жилищные кооперативы (ч.12 ст.161 ЖК);</w:t>
      </w:r>
    </w:p>
    <w:p w:rsidR="001464D9" w:rsidRDefault="001464D9" w:rsidP="001464D9">
      <w:pPr>
        <w:numPr>
          <w:ilvl w:val="0"/>
          <w:numId w:val="1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собственники помещений и квартир в МКД, если в доме непосредственное управление </w:t>
      </w:r>
    </w:p>
    <w:p w:rsidR="001464D9" w:rsidRDefault="001464D9" w:rsidP="001464D9">
      <w:pPr>
        <w:numPr>
          <w:ilvl w:val="0"/>
          <w:numId w:val="1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(</w:t>
      </w:r>
    </w:p>
    <w:p w:rsidR="001464D9" w:rsidRPr="006A3FBC" w:rsidRDefault="001464D9" w:rsidP="001464D9">
      <w:pPr>
        <w:numPr>
          <w:ilvl w:val="0"/>
          <w:numId w:val="1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ч.2 ст.164 ЖК).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Если ни с кем не заключать договор на вывоз мусора, но пришлют квитанции. Законно ли это?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Да, это законно. Есть 3 варианта:</w:t>
      </w:r>
    </w:p>
    <w:p w:rsidR="001464D9" w:rsidRPr="006A3FBC" w:rsidRDefault="001464D9" w:rsidP="001464D9">
      <w:pPr>
        <w:numPr>
          <w:ilvl w:val="0"/>
          <w:numId w:val="2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Вы живете в многоквартирном доме с УК / ТСЖ / кооперативом и платите за мусор им.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br/>
        <w:t xml:space="preserve">Вам не нужно заключать отдельный договор на обращение с ТКО. Его заключает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В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аша управляющая компания (ТСЖ, жилищный кооператив). УК выставляет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В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ам квитанции на оплату услуг по обращению с ТКО, вы платите УК, УК рассчитывается за оказанные услуги с региональным оператором ТКО.</w:t>
      </w:r>
    </w:p>
    <w:p w:rsidR="001464D9" w:rsidRPr="006A3FBC" w:rsidRDefault="001464D9" w:rsidP="001464D9">
      <w:pPr>
        <w:numPr>
          <w:ilvl w:val="0"/>
          <w:numId w:val="2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Вы живете в многоквартирном доме с УК / ТСЖ / кооперативом, но платите региональному оператору.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br/>
        <w:t xml:space="preserve">Если общее собрание собственников решило платить напрямую поставщикам коммунальных услуг, тогда квитанции за обращение с ТКО вам будет выставлять региональный оператор. Вы должны будете оплачивать их напрямую региональному оператору. Договор на обращение с ТКО в этом случае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заключается каждым собственником с региональным оператором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.</w:t>
      </w:r>
    </w:p>
    <w:p w:rsidR="001464D9" w:rsidRPr="006A3FBC" w:rsidRDefault="001464D9" w:rsidP="001464D9">
      <w:pPr>
        <w:numPr>
          <w:ilvl w:val="0"/>
          <w:numId w:val="2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 вашем доме непосредственное управление / у вас частный дом.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br/>
        <w:t>В этом случае вы сами должны будете заключить договор на обращение с ТКО с региональным оператором и платить ему напрямую по выставленным квитанциям. Отказаться от заключения договора нельзя.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lastRenderedPageBreak/>
        <w:t>Аренда нежилого помещения в многоквартирном доме под магазин (офис). Кто должен заключать договор на обращение с ТКО — арендатор или собственник помещения?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В п. 148(1) ПП №354 сказано, что договор на обращение с ТКО заключает именно собственник нежилого помещения в МКД. </w:t>
      </w:r>
      <w:r w:rsidRPr="006A3FBC">
        <w:rPr>
          <w:rFonts w:ascii="&amp;quot" w:eastAsia="Times New Roman" w:hAnsi="&amp;quo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Собственнику нужно обратиться к региональному оператору по обращению с ТКО и оформить с ним отдельный договор.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 </w:t>
      </w:r>
    </w:p>
    <w:p w:rsidR="001464D9" w:rsidRPr="006A3FBC" w:rsidRDefault="001464D9" w:rsidP="001464D9">
      <w:pPr>
        <w:shd w:val="clear" w:color="auto" w:fill="F5F5F5"/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заметку:</w:t>
      </w:r>
      <w:r w:rsidRPr="006A3FBC">
        <w:rPr>
          <w:rFonts w:ascii="&amp;quot" w:eastAsia="Times New Roman" w:hAnsi="&amp;quot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УК, ТСЖ или кооператив, управляющие домом, могут запрашивать у собственника нежилого помещения данные об объемах коммунальной услуги по обращению с ТКО за месяц. Собственнику придется предоставлять такую информацию в УК в течение 3 рабочих дней.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Что конкретно включается в услугу по обращению с ТКО?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В услугу по обращению с твердыми коммунальными отходами входят сбор, транспортирование, обезвреживание и захоронение ТКО. Конкретный порядок и особенности оказания услуг по обращению с ТКО смотрите в ПП №1156 и договоре с региональным оператором.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Как часто должны вывозить мусор от многоквартирных домов?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В холодное время года (среднесуточная температура +5 °C и ниже) — не реже 1 раза в 3 суток. В теплое время года (среднесуточная температура выше +5 °C) — 1 раз в сутки. В течение одного месяца допустимо отклонение от этой нормы не более 72 часов. Единовременно в холодное время года вывоз мусора могут задержать не более чем на 48 часов, в теплое время года — не более чем на 24 часа. Эти нормативы указаны в приложении 1 к ПП №354.</w:t>
      </w:r>
    </w:p>
    <w:p w:rsidR="001464D9" w:rsidRPr="00FE5FCE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br/>
      </w: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Откуда берутся нормативы и тарифы на услугу по обращению с ТКО?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Расценки на коммунальные услуги по обращению с ТКО у регионального оператора не могут быть больше единого тарифа на услуги регионального оператора по обращению с ТКО. Этот тариф утверждается на уровне региона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 Комитетом по ценам и тарифам Республики Крым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. Норматив накопления ТКО также устана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вливаются распоряжением Совета министров Республики Крым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lastRenderedPageBreak/>
        <w:t>Может ли УК выставить счет за вывоз мусора на общедомовые нужды?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Нет,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не может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. В пункте 148(29) ПП №354 прямо указано, что коммунальная услуга по обращению с ТКО не предоставляется на общедомовые нужды.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Управляющая компания составила акт о том, что в квартире живут 2 человека, хотя никто не прописан. Теперь начисляют плату за вывоз мусора на 2 человек. Что делать?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Как и в случае с другими коммунальными услугами, УК действительно может составлять такие акты об установлении числа временно проживающих в квартире и на основании этого акта потом начислять плату за услугу по обращению с ТКО (пп.в п.148(23), п.148(35) ПП №354 от 06.05.2011). Плата за вывоз мусора рассчитывается от числа временно и постоянно проживающих жильцов. Временным считается проживание более 5 дней подряд.</w:t>
      </w:r>
    </w:p>
    <w:p w:rsidR="001464D9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В квартире никто не прописан. Нужно ли платить за вывоз мусора?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Да, нужно. Если в квартире никто не прописан и временно не зарегистрирован, начислять плату за обращение с ТКО будут от количества собственников квартиры (п.148(36) ПП №354). Непроживание в квартире не освобождает от обязанности платить за коммунальные услуги, но иногда позволяет сделать перерасчет платы за коммуналку в связи с временным отсутствием.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Можно ли не платить за вывоз мусора, если его нет (закапываю на своем участке и сжигаю сам)?</w:t>
      </w:r>
    </w:p>
    <w:p w:rsidR="001464D9" w:rsidRPr="006A3FBC" w:rsidRDefault="001464D9" w:rsidP="001464D9">
      <w:pPr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К сожалению, для собственников жилых домов заключение договоров на услуги по обращению с ТКО обязательно. Накапливать твердые коммунальные отходы можно только в специально оборудованных местах. Такие площадки должны отвечать требованиям по охране окружающей среды и санэпидемнормам. Сжигать отходы без специального оборудования, которое очищает выбросы, запрещено. Плюс для обращения с отходами I-IV классов опасности требуется наличие лицензии. За нарушение всех этих правил могут штрафовать собственника дома или земельного участка. Пожалуй, проще всего будет все-таки заключить договор с региональным оператором.</w:t>
      </w:r>
    </w:p>
    <w:p w:rsidR="001464D9" w:rsidRPr="006A3FBC" w:rsidRDefault="001464D9" w:rsidP="001464D9">
      <w:pPr>
        <w:shd w:val="clear" w:color="auto" w:fill="F5F5F5"/>
        <w:spacing w:after="0" w:line="384" w:lineRule="atLeast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Важно: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 при обнаружении несанкционированного места складирования ТКО объемом более 1 кубометра региональный оператор обязан пожаловаться в уполномоченные органы и высылать собственнику земельного участка уведомление о необходимости ликвидации этой свалки. Собственнику участка надо будет самостоятельно ликвидировать свалку или заключить 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lastRenderedPageBreak/>
        <w:t>договор с региональным оператором в течение 30 дней. Если свалка так и не будет ликвидирована, региональный оператор устранит ее сам и через суд взыщет с собственника участка свои расходы. Так написано в пунктах 16-17 ПП №1156.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 w:rsidRPr="00FE5FCE"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Кому предъявлять претензии по некачественному вывозу мусора?</w:t>
      </w:r>
    </w:p>
    <w:p w:rsidR="001464D9" w:rsidRPr="006A3FBC" w:rsidRDefault="001464D9" w:rsidP="001464D9">
      <w:pPr>
        <w:numPr>
          <w:ilvl w:val="0"/>
          <w:numId w:val="3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Управляющей компании / ТСЖ / кооперативу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 — если договор на услуги по вывозу ТКО с региональным оператором заключали они. Претензии по содержанию и чистоте контейнерных площадок, мусоропровода, мусороприемной камеры нужно также писать в УК.</w:t>
      </w:r>
    </w:p>
    <w:p w:rsidR="001464D9" w:rsidRPr="006A3FBC" w:rsidRDefault="001464D9" w:rsidP="001464D9">
      <w:pPr>
        <w:numPr>
          <w:ilvl w:val="0"/>
          <w:numId w:val="3"/>
        </w:numPr>
        <w:spacing w:after="0" w:line="384" w:lineRule="atLeast"/>
        <w:ind w:left="0"/>
        <w:jc w:val="both"/>
        <w:textAlignment w:val="baseline"/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</w:pPr>
      <w:r w:rsidRPr="006A3FBC">
        <w:rPr>
          <w:rFonts w:ascii="&amp;quot" w:eastAsia="Times New Roman" w:hAnsi="&amp;quot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Региональному оператору ТКО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 — если у вас заключен договор напрямую с ним. Ответственность регионального оператора начинается с момента погрузки отходов в мусоровоз на местах сбора и накопления ТКО (контейнерных и специальных площадках).</w:t>
      </w:r>
    </w:p>
    <w:p w:rsidR="001464D9" w:rsidRPr="00FE5FCE" w:rsidRDefault="001464D9" w:rsidP="001464D9">
      <w:pPr>
        <w:spacing w:after="0" w:line="540" w:lineRule="atLeast"/>
        <w:jc w:val="both"/>
        <w:textAlignment w:val="baseline"/>
        <w:outlineLvl w:val="1"/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</w:pPr>
      <w:r>
        <w:rPr>
          <w:rFonts w:ascii="&amp;quot" w:eastAsia="Times New Roman" w:hAnsi="&amp;quot" w:cs="Times New Roman"/>
          <w:b/>
          <w:bCs/>
          <w:color w:val="222222"/>
          <w:sz w:val="44"/>
          <w:szCs w:val="44"/>
          <w:lang w:eastAsia="ru-RU"/>
        </w:rPr>
        <w:t>Отказ от оплаты за вывоз мусора</w:t>
      </w:r>
    </w:p>
    <w:p w:rsidR="001464D9" w:rsidRDefault="001464D9" w:rsidP="001464D9">
      <w:pPr>
        <w:spacing w:after="0" w:line="384" w:lineRule="atLeast"/>
        <w:jc w:val="both"/>
        <w:textAlignment w:val="baseline"/>
      </w:pP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Не хочется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В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ас огорчать, но за отсутствие договора на вывоз мусора собственников частных домов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будут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 штрафовать (от 1 до 2 т.р. по статье 8.2 КоАП РФ). Долги по коммунальным услугам взыщут по суду и спишут с вашей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банковской 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карточки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 — с процентами и госпошлиной</w:t>
      </w:r>
      <w:r w:rsidRPr="006A3FBC"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 xml:space="preserve">. Так что платить придется все равно. </w:t>
      </w:r>
      <w:r>
        <w:rPr>
          <w:rFonts w:ascii="&amp;quot" w:eastAsia="Times New Roman" w:hAnsi="&amp;quot" w:cs="Times New Roman"/>
          <w:color w:val="111111"/>
          <w:sz w:val="24"/>
          <w:szCs w:val="24"/>
          <w:lang w:eastAsia="ru-RU"/>
        </w:rPr>
        <w:t>Кроме того, ужесточается административное законодательство за отказ от заключения договора на вывоз мусора в Республике Крым.</w:t>
      </w:r>
    </w:p>
    <w:p w:rsidR="008A2B48" w:rsidRDefault="008A2B48"/>
    <w:sectPr w:rsidR="008A2B48" w:rsidSect="006A3FBC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B12FE"/>
    <w:multiLevelType w:val="multilevel"/>
    <w:tmpl w:val="79C4BE2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4F6C87"/>
    <w:multiLevelType w:val="multilevel"/>
    <w:tmpl w:val="A83A4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E477B"/>
    <w:multiLevelType w:val="multilevel"/>
    <w:tmpl w:val="182E24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64D9"/>
    <w:rsid w:val="00014C4F"/>
    <w:rsid w:val="001464D9"/>
    <w:rsid w:val="0061076A"/>
    <w:rsid w:val="00784FF2"/>
    <w:rsid w:val="008A2B48"/>
    <w:rsid w:val="00AA392A"/>
    <w:rsid w:val="00B869AD"/>
    <w:rsid w:val="00CA34CB"/>
    <w:rsid w:val="00EC60DA"/>
    <w:rsid w:val="00FD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4D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1110</Words>
  <Characters>6332</Characters>
  <Application>Microsoft Office Word</Application>
  <DocSecurity>0</DocSecurity>
  <Lines>52</Lines>
  <Paragraphs>14</Paragraphs>
  <ScaleCrop>false</ScaleCrop>
  <Company>DG Win&amp;Soft</Company>
  <LinksUpToDate>false</LinksUpToDate>
  <CharactersWithSpaces>7428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2019-02-06T12:15:00Z</dcterms:created>
  <dcterms:modified xsi:type="dcterms:W3CDTF">2019-02-06T12:16:00Z</dcterms:modified>
</cp:coreProperties>
</file>